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pStyle w:val="2"/>
        <w:spacing w:before="0" w:beforeAutospacing="0" w:after="0" w:afterAutospacing="0" w:line="600" w:lineRule="exact"/>
        <w:jc w:val="center"/>
        <w:rPr>
          <w:rStyle w:val="4"/>
          <w:rFonts w:hint="eastAsia" w:ascii="方正小标宋简体" w:eastAsia="方正小标宋简体"/>
          <w:b w:val="0"/>
          <w:color w:val="3D3D3D"/>
          <w:spacing w:val="-10"/>
          <w:sz w:val="44"/>
          <w:szCs w:val="44"/>
        </w:rPr>
      </w:pPr>
      <w:r>
        <w:rPr>
          <w:rStyle w:val="4"/>
          <w:rFonts w:hint="eastAsia" w:ascii="方正小标宋简体" w:eastAsia="方正小标宋简体"/>
          <w:b w:val="0"/>
          <w:color w:val="3D3D3D"/>
          <w:spacing w:val="-10"/>
          <w:sz w:val="44"/>
          <w:szCs w:val="44"/>
        </w:rPr>
        <w:t>2018年高校党建研究规划重点项目选题（参考）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b/>
          <w:color w:val="3D3D3D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1.习近平新时代中国特色社会主义党建思想研究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2.坚持党委对学校工作的全面领导研究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3.落实高校党组织全面从严治党责任制长效机制研究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4.开展“不忘初心、牢记使命”主题教育研究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5.改革开放40年高校党的建设成就与经验研究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6.加强和规范高校党内政治生活研究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7.营造高校风清气正的良好政治生态研究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8.坚持和完善党委领导下的校长负责制工作机制研究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9.建立和完善高校领导干部动力机制研究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10.推进高校党务公开工作机制研究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4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4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4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40" w:lineRule="exact"/>
        <w:ind w:firstLine="1120" w:firstLineChars="3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951E7"/>
    <w:rsid w:val="6D535020"/>
    <w:rsid w:val="793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2018-06-22T06:57:00Z</dcterms:created>
  <dc:creator>美丽心情</dc:creator>
  <cp:lastModifiedBy>美丽心情</cp:lastModifiedBy>
  <dcterms:modified xsi:type="dcterms:W3CDTF">2018-06-22T06:58:06Z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