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b/>
          <w:bCs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1A1A1A"/>
          <w:sz w:val="21"/>
          <w:szCs w:val="21"/>
        </w:rPr>
        <w:t>附件</w:t>
      </w:r>
      <w:r>
        <w:rPr>
          <w:rFonts w:ascii="微软雅黑" w:hAnsi="微软雅黑" w:eastAsia="微软雅黑"/>
          <w:b/>
          <w:bCs/>
          <w:color w:val="1A1A1A"/>
          <w:sz w:val="21"/>
          <w:szCs w:val="21"/>
        </w:rPr>
        <w:t>1</w:t>
      </w:r>
      <w:r>
        <w:rPr>
          <w:rFonts w:hint="eastAsia" w:ascii="微软雅黑" w:hAnsi="微软雅黑" w:eastAsia="微软雅黑"/>
          <w:b/>
          <w:bCs/>
          <w:color w:val="1A1A1A"/>
          <w:sz w:val="21"/>
          <w:szCs w:val="21"/>
        </w:rPr>
        <w:t>：</w:t>
      </w:r>
    </w:p>
    <w:p>
      <w:pPr>
        <w:pStyle w:val="3"/>
        <w:shd w:val="clear" w:color="auto" w:fill="FFFFFF"/>
        <w:spacing w:before="0" w:beforeAutospacing="0" w:after="173" w:afterAutospacing="0" w:line="440" w:lineRule="exact"/>
        <w:rPr>
          <w:rFonts w:ascii="微软雅黑" w:hAnsi="微软雅黑" w:eastAsia="微软雅黑"/>
          <w:b/>
          <w:bCs/>
          <w:color w:val="1A1A1A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173" w:afterAutospacing="0" w:line="440" w:lineRule="exact"/>
        <w:jc w:val="center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1A1A1A"/>
          <w:sz w:val="36"/>
          <w:szCs w:val="36"/>
        </w:rPr>
        <w:t xml:space="preserve">2018 </w:t>
      </w:r>
      <w:r>
        <w:rPr>
          <w:rFonts w:hint="eastAsia" w:ascii="微软雅黑" w:hAnsi="微软雅黑" w:eastAsia="微软雅黑"/>
          <w:b/>
          <w:bCs/>
          <w:color w:val="1A1A1A"/>
          <w:sz w:val="36"/>
          <w:szCs w:val="36"/>
        </w:rPr>
        <w:t>年度党建、思政工作专项课题研究指南</w:t>
      </w:r>
      <w:r>
        <w:rPr>
          <w:rFonts w:ascii="微软雅黑" w:hAnsi="微软雅黑" w:eastAsia="微软雅黑"/>
          <w:b/>
          <w:bCs/>
          <w:color w:val="1A1A1A"/>
          <w:sz w:val="21"/>
          <w:szCs w:val="21"/>
        </w:rPr>
        <w:br w:type="textWrapping"/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加强高校党的政治建设研究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完善院系级党组织运行体制机制研究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高校党建工作标准及测评体系研究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高校党务工作队伍“双线晋升”路径研究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加强高校党外知识分子思想引领路径和载体研究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高校院系党政联席会议运行机制研究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高校教师党支部书记“双带头人”培育研究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加强高校青年教师党员发展工作研究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加强高校党员联系与服务长效机制研究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新时代学生基层党组织建设创新研究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加强大学生党员日常教育管理的方式方法研究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教学一线党支部和党员作用发挥研究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新媒体时代高校党建工作创新研究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00</w:t>
      </w:r>
      <w:r>
        <w:rPr>
          <w:rFonts w:hint="eastAsia" w:ascii="微软雅黑" w:hAnsi="微软雅黑" w:eastAsia="微软雅黑"/>
          <w:sz w:val="21"/>
          <w:szCs w:val="21"/>
        </w:rPr>
        <w:t>后大学生入党动机研究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新时代高职院校业余党校培训模式创新研究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高校青年党员作用发挥及影响因素研究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高校基层党支部创新组织活动形式、优化活动载体研究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新形势下加强高校党建带团建工作研究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高校党团与班级建设创新研究</w:t>
      </w:r>
      <w:r>
        <w:rPr>
          <w:rFonts w:ascii="微软雅黑" w:hAnsi="微软雅黑" w:eastAsia="微软雅黑"/>
          <w:sz w:val="21"/>
          <w:szCs w:val="21"/>
        </w:rPr>
        <w:t xml:space="preserve"> 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习近平新时代中国特色社会主义思想宣传教育研究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“三全”育人的实现路径和保障机制研究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新时代高职院校思想政治工作质量提升关键问题研究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新时代高职院校思想政治工作评价指标体系研究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新时代高职院校思想政治工作队伍建设研究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改革开放伟大成就融入大学生思想政治教育研究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新时代高校思想政治工作宣传能力提升研究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高职院校专业课程育人的机制研究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高校思政理论课教学改革对策研究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高职院校科研育人的实现路径与机制研究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高职院校实践育人协同体系建设研究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文明校园创建的长效机制研究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高职院校优良校风、学风培育研究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大学生网络素养教育机制研究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高校网络舆情的管理和引导研究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高校网络育人体系构建研究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优秀网络文化成果评价及其推广应用研究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高职院校师生心理健康教育工作体系研究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高校管理育人的内涵与机制研究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高校服务育人的内涵与机制研究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高校资助育人长效机制研究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构建高校教师思想政治工作体系研究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健全高校意识形态工作责任体系研究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高校教师政治理论学习模式及实效性研究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高校反“四风”长效机制建设研究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大学生安全教育体系研究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高校学生社团管理研究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高校“师德一票否决”实施细则研究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新形势下高校思想政治工作专门队伍能力适应状况调查研究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专业教师教书育人责任落实状况调查研究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社会主义核心价值观引领教育长效机制研究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社会主义核心价值观认同教育研究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推进大学生学习宣传习近平新时代中国特色社会主义思想研究</w:t>
      </w:r>
      <w:bookmarkStart w:id="0" w:name="_GoBack"/>
      <w:bookmarkEnd w:id="0"/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新时代大学生思想特点及行为规律研究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新时代大学生使命教育研究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新时代大学生理想信念、价值观念、道德观念教育研究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新时代大学生法治素养教育研究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新时代大学生诚信教育体系建设研究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高校辅导员专业能力和职业素养提升研究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高校辅导员职业发展问题研究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高校青年教师理想信念教育研究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color w:val="1A1A1A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21"/>
          <w:szCs w:val="21"/>
        </w:rPr>
        <w:t>高校班主任育人机制与体制研究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中国特色社会主义文化融入大学生日常思想政治教育研究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高校实践育人创新创业载体和平台建设研究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大学生创新创业调查研究。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新时代大学生志愿服务工作育人机制与方法创新研究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大学生心理健康素质提升研究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校园好网民培养路径研究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大学生心理危机防范和快速反应机制研究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高校服务育人能力提升的方法和路径创新研究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发挥高校学生社团育人功能创新研究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高校网络文化工作队伍建设研究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高校学生社团管理研究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高校学生安全事件应对处置研究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173" w:afterAutospacing="0" w:line="32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高校校友会育人功能及其发挥研究</w:t>
      </w:r>
    </w:p>
    <w:p>
      <w:pPr>
        <w:widowControl/>
        <w:spacing w:before="261" w:after="261" w:line="338" w:lineRule="atLeast"/>
        <w:jc w:val="left"/>
        <w:rPr>
          <w:rFonts w:ascii="微软雅黑" w:hAnsi="微软雅黑" w:eastAsia="微软雅黑" w:cs="宋体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BD706"/>
    <w:multiLevelType w:val="singleLevel"/>
    <w:tmpl w:val="42CBD7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D0E4B"/>
    <w:rsid w:val="0D7D0E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2018-05-18T07:12:00Z</dcterms:created>
  <dc:creator>美丽心情</dc:creator>
  <cp:lastModifiedBy>美丽心情</cp:lastModifiedBy>
  <dcterms:modified xsi:type="dcterms:W3CDTF">2018-05-18T07:19:12Z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